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2A11" w14:textId="77777777" w:rsidR="00D77E31" w:rsidRPr="00D77E31" w:rsidRDefault="00D77E31" w:rsidP="00D77E31">
      <w:pPr>
        <w:pStyle w:val="NoSpacing"/>
        <w:jc w:val="center"/>
        <w:rPr>
          <w:b/>
          <w:bCs/>
        </w:rPr>
      </w:pPr>
      <w:r w:rsidRPr="00D77E31">
        <w:rPr>
          <w:b/>
          <w:bCs/>
        </w:rPr>
        <w:t>RETAINER AGREEMENT FOR PROFESSIONAL EXPERT ANALYSIS AND TESTIMONY</w:t>
      </w:r>
    </w:p>
    <w:p w14:paraId="4101C0A3" w14:textId="77777777" w:rsidR="00283615" w:rsidRDefault="00283615" w:rsidP="00D77E31">
      <w:pPr>
        <w:pStyle w:val="NoSpacing"/>
      </w:pPr>
    </w:p>
    <w:p w14:paraId="553F1599" w14:textId="267DBE7E" w:rsidR="00D77E31" w:rsidRDefault="00D77E31" w:rsidP="00D77E31">
      <w:pPr>
        <w:pStyle w:val="NoSpacing"/>
      </w:pPr>
      <w:r>
        <w:t xml:space="preserve">Regarding: </w:t>
      </w:r>
    </w:p>
    <w:p w14:paraId="0916382F" w14:textId="77777777" w:rsidR="00D77E31" w:rsidRDefault="00D77E31" w:rsidP="00D77E31">
      <w:pPr>
        <w:pStyle w:val="NoSpacing"/>
      </w:pPr>
    </w:p>
    <w:p w14:paraId="74340A4A" w14:textId="77777777" w:rsidR="000C6C55" w:rsidRDefault="000C6C55" w:rsidP="00D77E31">
      <w:pPr>
        <w:pStyle w:val="NoSpacing"/>
      </w:pPr>
    </w:p>
    <w:p w14:paraId="17B61991" w14:textId="77777777" w:rsidR="00283615" w:rsidRDefault="00283615" w:rsidP="00D77E31">
      <w:pPr>
        <w:pStyle w:val="NoSpacing"/>
      </w:pPr>
    </w:p>
    <w:p w14:paraId="322F06AE" w14:textId="7B481763" w:rsidR="00D77E31" w:rsidRDefault="00D77E31" w:rsidP="00D77E31">
      <w:pPr>
        <w:pStyle w:val="NoSpacing"/>
      </w:pPr>
      <w:r>
        <w:t>Made by and between:</w:t>
      </w:r>
    </w:p>
    <w:p w14:paraId="4C561837" w14:textId="5DF18D3C" w:rsidR="00D77E31" w:rsidRDefault="00D77E31" w:rsidP="00283615">
      <w:pPr>
        <w:pStyle w:val="NoSpacing"/>
        <w:ind w:left="2880"/>
        <w:rPr>
          <w:b/>
          <w:bCs/>
        </w:rPr>
      </w:pPr>
      <w:r>
        <w:rPr>
          <w:b/>
          <w:bCs/>
        </w:rPr>
        <w:t>Steven Smyth</w:t>
      </w:r>
    </w:p>
    <w:p w14:paraId="7C9679AD" w14:textId="232E2908" w:rsidR="00D77E31" w:rsidRPr="00283615" w:rsidRDefault="00D77E31" w:rsidP="00283615">
      <w:pPr>
        <w:pStyle w:val="NoSpacing"/>
        <w:ind w:left="2880"/>
      </w:pPr>
      <w:r w:rsidRPr="00283615">
        <w:t>and</w:t>
      </w:r>
    </w:p>
    <w:p w14:paraId="4A92CE7B" w14:textId="77777777" w:rsidR="00D77E31" w:rsidRDefault="00D77E31" w:rsidP="00D77E31">
      <w:pPr>
        <w:pStyle w:val="NoSpacing"/>
        <w:rPr>
          <w:b/>
          <w:bCs/>
        </w:rPr>
      </w:pPr>
    </w:p>
    <w:p w14:paraId="25782728" w14:textId="77777777" w:rsidR="000C6C55" w:rsidRDefault="000C6C55" w:rsidP="00D77E31">
      <w:pPr>
        <w:pStyle w:val="NoSpacing"/>
        <w:rPr>
          <w:b/>
          <w:bCs/>
        </w:rPr>
      </w:pPr>
    </w:p>
    <w:p w14:paraId="72DAEB13" w14:textId="77777777" w:rsidR="000C6C55" w:rsidRDefault="000C6C55" w:rsidP="00D77E31">
      <w:pPr>
        <w:pStyle w:val="NoSpacing"/>
        <w:rPr>
          <w:b/>
          <w:bCs/>
        </w:rPr>
      </w:pPr>
    </w:p>
    <w:p w14:paraId="6953B90B" w14:textId="77777777" w:rsidR="000C6C55" w:rsidRDefault="000C6C55" w:rsidP="00D77E31">
      <w:pPr>
        <w:pStyle w:val="NoSpacing"/>
        <w:rPr>
          <w:b/>
          <w:bCs/>
        </w:rPr>
      </w:pPr>
    </w:p>
    <w:p w14:paraId="3E1A0EBD" w14:textId="77777777" w:rsidR="00D77E31" w:rsidRPr="00D77E31" w:rsidRDefault="00D77E31" w:rsidP="00D77E31">
      <w:pPr>
        <w:pStyle w:val="NoSpacing"/>
        <w:rPr>
          <w:b/>
          <w:bCs/>
        </w:rPr>
      </w:pPr>
    </w:p>
    <w:p w14:paraId="7E05D520" w14:textId="05F69F45" w:rsidR="00D77E31" w:rsidRDefault="00D77E31" w:rsidP="00D77E31">
      <w:pPr>
        <w:pStyle w:val="NoSpacing"/>
      </w:pPr>
      <w:r>
        <w:t xml:space="preserve">This AGREEMENT, dated the </w:t>
      </w:r>
      <w:proofErr w:type="spellStart"/>
      <w:r w:rsidRPr="00D77E31">
        <w:rPr>
          <w:vertAlign w:val="superscript"/>
        </w:rPr>
        <w:t>th</w:t>
      </w:r>
      <w:proofErr w:type="spellEnd"/>
      <w:r>
        <w:t xml:space="preserve"> </w:t>
      </w:r>
      <w:r w:rsidR="00283615">
        <w:t>day of</w:t>
      </w:r>
      <w:r>
        <w:t xml:space="preserve">, incorporating the following: </w:t>
      </w:r>
    </w:p>
    <w:p w14:paraId="400AD93B" w14:textId="77777777" w:rsidR="00D77E31" w:rsidRDefault="00D77E31" w:rsidP="00D77E31">
      <w:pPr>
        <w:pStyle w:val="NoSpacing"/>
      </w:pPr>
    </w:p>
    <w:p w14:paraId="72E6D00C" w14:textId="2CF5E6AA" w:rsidR="00D77E31" w:rsidRDefault="00D77E31" w:rsidP="00D77E31">
      <w:pPr>
        <w:pStyle w:val="NoSpacing"/>
      </w:pPr>
      <w:r w:rsidRPr="00D77E31">
        <w:rPr>
          <w:b/>
          <w:bCs/>
        </w:rPr>
        <w:t>1.0</w:t>
      </w:r>
      <w:r w:rsidR="00585677">
        <w:rPr>
          <w:b/>
          <w:bCs/>
        </w:rPr>
        <w:tab/>
      </w:r>
      <w:r w:rsidRPr="00D77E31">
        <w:rPr>
          <w:b/>
          <w:bCs/>
        </w:rPr>
        <w:t>General Scope of Services:</w:t>
      </w:r>
      <w:r w:rsidR="00D1320C">
        <w:rPr>
          <w:b/>
          <w:bCs/>
        </w:rPr>
        <w:tab/>
      </w:r>
      <w:r>
        <w:t xml:space="preserve">Services may include, but are not limited to, the following: a visit to and examination of the site of the case; photography at the site; review of related documents; telephone consultations; meetings; research; analysis; preparation of written draft preliminary and final reports; assistance in formulating discovery inquiries; preparation of exhibits and demonstrative evidence; testimony at trials, arbitrations, mediations and depositions; assistance during the testimony of others. </w:t>
      </w:r>
    </w:p>
    <w:p w14:paraId="4B9E9B14" w14:textId="77777777" w:rsidR="00283615" w:rsidRDefault="00283615" w:rsidP="00D77E31">
      <w:pPr>
        <w:pStyle w:val="NoSpacing"/>
        <w:rPr>
          <w:b/>
          <w:bCs/>
        </w:rPr>
      </w:pPr>
    </w:p>
    <w:p w14:paraId="6DC25271" w14:textId="1841D347" w:rsidR="00D77E31" w:rsidRDefault="00D77E31" w:rsidP="00D77E31">
      <w:pPr>
        <w:pStyle w:val="NoSpacing"/>
      </w:pPr>
      <w:r w:rsidRPr="00D77E31">
        <w:rPr>
          <w:b/>
          <w:bCs/>
        </w:rPr>
        <w:t>2.0</w:t>
      </w:r>
      <w:r w:rsidR="00585677">
        <w:rPr>
          <w:b/>
          <w:bCs/>
        </w:rPr>
        <w:tab/>
      </w:r>
      <w:r w:rsidRPr="00D77E31">
        <w:rPr>
          <w:b/>
          <w:bCs/>
        </w:rPr>
        <w:t>Compensation:</w:t>
      </w:r>
      <w:r w:rsidR="00D1320C">
        <w:rPr>
          <w:b/>
          <w:bCs/>
        </w:rPr>
        <w:t xml:space="preserve"> </w:t>
      </w:r>
      <w:r>
        <w:t xml:space="preserve">Compensation to </w:t>
      </w:r>
      <w:r w:rsidR="00005EE7">
        <w:t>Steven Smyth</w:t>
      </w:r>
      <w:r>
        <w:t xml:space="preserve"> will be as follows: </w:t>
      </w:r>
    </w:p>
    <w:p w14:paraId="0580D183" w14:textId="77777777" w:rsidR="00283615" w:rsidRDefault="00283615" w:rsidP="00D77E31">
      <w:pPr>
        <w:pStyle w:val="NoSpacing"/>
        <w:ind w:firstLine="720"/>
        <w:rPr>
          <w:b/>
          <w:bCs/>
        </w:rPr>
      </w:pPr>
    </w:p>
    <w:p w14:paraId="3844E7AB" w14:textId="09E798DD" w:rsidR="00D77E31" w:rsidRDefault="00D77E31" w:rsidP="00D77E31">
      <w:pPr>
        <w:pStyle w:val="NoSpacing"/>
        <w:ind w:firstLine="720"/>
      </w:pPr>
      <w:r w:rsidRPr="00D77E31">
        <w:rPr>
          <w:b/>
          <w:bCs/>
        </w:rPr>
        <w:t>2.1</w:t>
      </w:r>
      <w:r w:rsidR="00585677">
        <w:rPr>
          <w:b/>
          <w:bCs/>
        </w:rPr>
        <w:tab/>
      </w:r>
      <w:r w:rsidRPr="00D77E31">
        <w:rPr>
          <w:b/>
          <w:bCs/>
        </w:rPr>
        <w:t>Preparatory Work</w:t>
      </w:r>
      <w:proofErr w:type="gramStart"/>
      <w:r w:rsidRPr="00D77E31">
        <w:rPr>
          <w:b/>
          <w:bCs/>
        </w:rPr>
        <w:t>:</w:t>
      </w:r>
      <w:r>
        <w:t xml:space="preserve"> </w:t>
      </w:r>
      <w:r w:rsidR="00D1320C">
        <w:t xml:space="preserve"> </w:t>
      </w:r>
      <w:r>
        <w:t>For</w:t>
      </w:r>
      <w:proofErr w:type="gramEnd"/>
      <w:r>
        <w:t xml:space="preserve"> time spent preparing for the case, including site visit(s), document review, research, analysis, report preparation, trial preparation and travel time</w:t>
      </w:r>
      <w:proofErr w:type="gramStart"/>
      <w:r>
        <w:t xml:space="preserve">: </w:t>
      </w:r>
      <w:r w:rsidR="00E03DB1">
        <w:t xml:space="preserve"> </w:t>
      </w:r>
      <w:r>
        <w:t>$</w:t>
      </w:r>
      <w:proofErr w:type="gramEnd"/>
      <w:r w:rsidR="00D82079">
        <w:t>300</w:t>
      </w:r>
      <w:r>
        <w:t xml:space="preserve"> per hour. </w:t>
      </w:r>
    </w:p>
    <w:p w14:paraId="1FD74117" w14:textId="77777777" w:rsidR="00283615" w:rsidRDefault="00283615" w:rsidP="00D77E31">
      <w:pPr>
        <w:pStyle w:val="NoSpacing"/>
        <w:ind w:firstLine="720"/>
        <w:rPr>
          <w:b/>
          <w:bCs/>
        </w:rPr>
      </w:pPr>
    </w:p>
    <w:p w14:paraId="13FCA096" w14:textId="55B003B3" w:rsidR="00D77E31" w:rsidRDefault="00D77E31" w:rsidP="00D77E31">
      <w:pPr>
        <w:pStyle w:val="NoSpacing"/>
        <w:ind w:firstLine="720"/>
      </w:pPr>
      <w:r w:rsidRPr="00D77E31">
        <w:rPr>
          <w:b/>
          <w:bCs/>
        </w:rPr>
        <w:t>2.2</w:t>
      </w:r>
      <w:r w:rsidR="00585677">
        <w:rPr>
          <w:b/>
          <w:bCs/>
        </w:rPr>
        <w:tab/>
      </w:r>
      <w:r w:rsidR="00005EE7">
        <w:rPr>
          <w:b/>
          <w:bCs/>
        </w:rPr>
        <w:t>Deposition</w:t>
      </w:r>
      <w:proofErr w:type="gramStart"/>
      <w:r w:rsidR="00005EE7">
        <w:rPr>
          <w:b/>
          <w:bCs/>
        </w:rPr>
        <w:t>:</w:t>
      </w:r>
      <w:r w:rsidRPr="00D77E31">
        <w:rPr>
          <w:b/>
          <w:bCs/>
        </w:rPr>
        <w:t xml:space="preserve"> </w:t>
      </w:r>
      <w:r w:rsidR="00D1320C">
        <w:rPr>
          <w:b/>
          <w:bCs/>
        </w:rPr>
        <w:t xml:space="preserve"> </w:t>
      </w:r>
      <w:r>
        <w:t>For</w:t>
      </w:r>
      <w:proofErr w:type="gramEnd"/>
      <w:r>
        <w:t xml:space="preserve"> time spent in deposition</w:t>
      </w:r>
      <w:r w:rsidR="00005EE7">
        <w:t>, testifying, awaiting testimony, assisting in the testimony of others, and for travel to and from the testimony location</w:t>
      </w:r>
      <w:proofErr w:type="gramStart"/>
      <w:r w:rsidR="00005EE7">
        <w:t>:</w:t>
      </w:r>
      <w:r w:rsidR="00E03DB1">
        <w:t xml:space="preserve"> </w:t>
      </w:r>
      <w:r>
        <w:t xml:space="preserve"> $</w:t>
      </w:r>
      <w:proofErr w:type="gramEnd"/>
      <w:r w:rsidR="00D82079">
        <w:t>400</w:t>
      </w:r>
      <w:r>
        <w:t xml:space="preserve"> per hour. </w:t>
      </w:r>
    </w:p>
    <w:p w14:paraId="3FFFF19F" w14:textId="77777777" w:rsidR="00283615" w:rsidRDefault="00283615" w:rsidP="00D77E31">
      <w:pPr>
        <w:pStyle w:val="NoSpacing"/>
        <w:ind w:firstLine="720"/>
        <w:rPr>
          <w:b/>
          <w:bCs/>
        </w:rPr>
      </w:pPr>
    </w:p>
    <w:p w14:paraId="2E3E9EF7" w14:textId="254D69F7" w:rsidR="00005EE7" w:rsidRDefault="00283615" w:rsidP="00D77E31">
      <w:pPr>
        <w:pStyle w:val="NoSpacing"/>
        <w:ind w:firstLine="720"/>
      </w:pPr>
      <w:r w:rsidRPr="00283615">
        <w:rPr>
          <w:b/>
          <w:bCs/>
        </w:rPr>
        <w:t>2.3</w:t>
      </w:r>
      <w:r w:rsidR="00585677">
        <w:rPr>
          <w:b/>
          <w:bCs/>
        </w:rPr>
        <w:tab/>
      </w:r>
      <w:r w:rsidRPr="00283615">
        <w:rPr>
          <w:b/>
          <w:bCs/>
        </w:rPr>
        <w:t>Trial</w:t>
      </w:r>
      <w:proofErr w:type="gramStart"/>
      <w:r w:rsidR="00005EE7" w:rsidRPr="00283615">
        <w:rPr>
          <w:b/>
          <w:bCs/>
        </w:rPr>
        <w:t>:</w:t>
      </w:r>
      <w:r w:rsidR="00E03DB1">
        <w:rPr>
          <w:b/>
          <w:bCs/>
        </w:rPr>
        <w:t xml:space="preserve"> </w:t>
      </w:r>
      <w:r w:rsidR="00005EE7">
        <w:t xml:space="preserve"> $</w:t>
      </w:r>
      <w:proofErr w:type="gramEnd"/>
      <w:r w:rsidR="00005EE7">
        <w:t>3</w:t>
      </w:r>
      <w:r w:rsidR="00A01947">
        <w:t>5</w:t>
      </w:r>
      <w:r w:rsidR="00005EE7">
        <w:t>00 per day.</w:t>
      </w:r>
    </w:p>
    <w:p w14:paraId="6A039A46" w14:textId="77777777" w:rsidR="00283615" w:rsidRDefault="00283615" w:rsidP="00D77E31">
      <w:pPr>
        <w:pStyle w:val="NoSpacing"/>
        <w:ind w:firstLine="720"/>
        <w:rPr>
          <w:b/>
          <w:bCs/>
        </w:rPr>
      </w:pPr>
    </w:p>
    <w:p w14:paraId="42D35842" w14:textId="29771389" w:rsidR="00D77E31" w:rsidRDefault="00D77E31" w:rsidP="00D77E31">
      <w:pPr>
        <w:pStyle w:val="NoSpacing"/>
        <w:ind w:firstLine="720"/>
      </w:pPr>
      <w:r w:rsidRPr="00D77E31">
        <w:rPr>
          <w:b/>
          <w:bCs/>
        </w:rPr>
        <w:t>2.</w:t>
      </w:r>
      <w:r w:rsidR="00005EE7">
        <w:rPr>
          <w:b/>
          <w:bCs/>
        </w:rPr>
        <w:t>4</w:t>
      </w:r>
      <w:r w:rsidR="00585677">
        <w:rPr>
          <w:b/>
          <w:bCs/>
        </w:rPr>
        <w:tab/>
      </w:r>
      <w:r w:rsidRPr="00D77E31">
        <w:rPr>
          <w:b/>
          <w:bCs/>
        </w:rPr>
        <w:t>Reimbursable Expenses</w:t>
      </w:r>
      <w:proofErr w:type="gramStart"/>
      <w:r w:rsidRPr="00D77E31">
        <w:rPr>
          <w:b/>
          <w:bCs/>
        </w:rPr>
        <w:t>:</w:t>
      </w:r>
      <w:r>
        <w:t xml:space="preserve"> </w:t>
      </w:r>
      <w:r w:rsidR="00D1320C">
        <w:t xml:space="preserve"> </w:t>
      </w:r>
      <w:r>
        <w:t>Extraordinary</w:t>
      </w:r>
      <w:proofErr w:type="gramEnd"/>
      <w:r>
        <w:t xml:space="preserve"> expenses and out-of-pocket costs related to the case, such as travel, photography, </w:t>
      </w:r>
      <w:r w:rsidR="00005EE7">
        <w:t>printing,</w:t>
      </w:r>
      <w:r>
        <w:t xml:space="preserve"> and trial exhibits, shall be reimbursable at cost. Business Class or </w:t>
      </w:r>
      <w:r w:rsidR="00005EE7">
        <w:t>First-Class</w:t>
      </w:r>
      <w:r>
        <w:t xml:space="preserve"> air travel, lodging approved by </w:t>
      </w:r>
      <w:r w:rsidR="00005EE7">
        <w:t>Steven Smyth</w:t>
      </w:r>
      <w:r>
        <w:t xml:space="preserve">, and Full-sized automobile rental is required when </w:t>
      </w:r>
      <w:r w:rsidR="00005EE7">
        <w:t>Steven Smyth</w:t>
      </w:r>
      <w:r>
        <w:t xml:space="preserve">, or his associates, requires such conveniences. </w:t>
      </w:r>
    </w:p>
    <w:p w14:paraId="7F546108" w14:textId="77777777" w:rsidR="00E03DB1" w:rsidRDefault="00E03DB1" w:rsidP="00D77E31">
      <w:pPr>
        <w:pStyle w:val="NoSpacing"/>
        <w:ind w:firstLine="720"/>
        <w:rPr>
          <w:b/>
          <w:bCs/>
        </w:rPr>
      </w:pPr>
    </w:p>
    <w:p w14:paraId="79C10BF7" w14:textId="0EC4FF22" w:rsidR="00D77E31" w:rsidRDefault="00D77E31" w:rsidP="00D77E31">
      <w:pPr>
        <w:pStyle w:val="NoSpacing"/>
        <w:ind w:firstLine="720"/>
      </w:pPr>
      <w:r w:rsidRPr="00D77E31">
        <w:rPr>
          <w:b/>
          <w:bCs/>
        </w:rPr>
        <w:t>2.</w:t>
      </w:r>
      <w:r w:rsidR="00283615">
        <w:rPr>
          <w:b/>
          <w:bCs/>
        </w:rPr>
        <w:t>5</w:t>
      </w:r>
      <w:r w:rsidR="00585677">
        <w:rPr>
          <w:b/>
          <w:bCs/>
        </w:rPr>
        <w:tab/>
      </w:r>
      <w:r w:rsidRPr="00D77E31">
        <w:rPr>
          <w:b/>
          <w:bCs/>
        </w:rPr>
        <w:t>Billing</w:t>
      </w:r>
      <w:proofErr w:type="gramStart"/>
      <w:r w:rsidRPr="00D77E31">
        <w:rPr>
          <w:b/>
          <w:bCs/>
        </w:rPr>
        <w:t>:</w:t>
      </w:r>
      <w:r>
        <w:t xml:space="preserve"> </w:t>
      </w:r>
      <w:r w:rsidR="00D1320C">
        <w:t xml:space="preserve"> </w:t>
      </w:r>
      <w:r>
        <w:t>All</w:t>
      </w:r>
      <w:proofErr w:type="gramEnd"/>
      <w:r>
        <w:t xml:space="preserve"> consulting work will be compensated via a prepaid, replenishable, and refundable retainer, the amount of which will be determined in accordance with the expected scope of the consulting engagement. All fees will be billed against retainers received; unused funds will be returned to the client upon conclusion of the engagement. </w:t>
      </w:r>
    </w:p>
    <w:p w14:paraId="64D1BE91" w14:textId="77777777" w:rsidR="00283615" w:rsidRDefault="00283615" w:rsidP="00005EE7">
      <w:pPr>
        <w:pStyle w:val="NoSpacing"/>
        <w:rPr>
          <w:b/>
          <w:bCs/>
        </w:rPr>
      </w:pPr>
    </w:p>
    <w:p w14:paraId="5F923A97" w14:textId="3CBF2FD1" w:rsidR="00005EE7" w:rsidRDefault="00005EE7" w:rsidP="00005EE7">
      <w:pPr>
        <w:pStyle w:val="NoSpacing"/>
      </w:pPr>
      <w:r w:rsidRPr="005B7460">
        <w:rPr>
          <w:b/>
          <w:bCs/>
        </w:rPr>
        <w:t>3.0</w:t>
      </w:r>
      <w:r w:rsidR="00585677">
        <w:rPr>
          <w:b/>
          <w:bCs/>
        </w:rPr>
        <w:tab/>
      </w:r>
      <w:r w:rsidRPr="005B7460">
        <w:rPr>
          <w:b/>
          <w:bCs/>
        </w:rPr>
        <w:t>Retainer</w:t>
      </w:r>
      <w:proofErr w:type="gramStart"/>
      <w:r w:rsidRPr="005B7460">
        <w:rPr>
          <w:b/>
          <w:bCs/>
        </w:rPr>
        <w:t>:</w:t>
      </w:r>
      <w:r w:rsidR="005B7460">
        <w:t xml:space="preserve">  A</w:t>
      </w:r>
      <w:proofErr w:type="gramEnd"/>
      <w:r w:rsidR="005B7460">
        <w:t xml:space="preserve"> four (4) hour retainer is requested to initiate services.</w:t>
      </w:r>
    </w:p>
    <w:p w14:paraId="615F54CA" w14:textId="77777777" w:rsidR="00283615" w:rsidRDefault="00283615" w:rsidP="00D77E31">
      <w:pPr>
        <w:pStyle w:val="NoSpacing"/>
        <w:rPr>
          <w:b/>
          <w:bCs/>
        </w:rPr>
      </w:pPr>
    </w:p>
    <w:p w14:paraId="50888F43" w14:textId="6F83A0EC" w:rsidR="005B7460" w:rsidRDefault="00D77E31" w:rsidP="00D77E31">
      <w:pPr>
        <w:pStyle w:val="NoSpacing"/>
      </w:pPr>
      <w:r w:rsidRPr="005B7460">
        <w:rPr>
          <w:b/>
          <w:bCs/>
        </w:rPr>
        <w:t>4.0</w:t>
      </w:r>
      <w:r w:rsidR="00585677">
        <w:rPr>
          <w:b/>
          <w:bCs/>
        </w:rPr>
        <w:tab/>
      </w:r>
      <w:r w:rsidRPr="005B7460">
        <w:rPr>
          <w:b/>
          <w:bCs/>
        </w:rPr>
        <w:t>Balance Due:</w:t>
      </w:r>
      <w:r>
        <w:t xml:space="preserve"> All outstanding fees and reimbursements shall be paid in full prior to the release of final reports to</w:t>
      </w:r>
      <w:r w:rsidR="00E03DB1">
        <w:t xml:space="preserve"> the law office of </w:t>
      </w:r>
      <w:r w:rsidR="000C6C55">
        <w:t xml:space="preserve">                 </w:t>
      </w:r>
      <w:r>
        <w:t>and prior to</w:t>
      </w:r>
      <w:r w:rsidR="006B60FD">
        <w:t xml:space="preserve"> any</w:t>
      </w:r>
      <w:r>
        <w:t xml:space="preserve"> testimony. Fees and </w:t>
      </w:r>
      <w:r>
        <w:lastRenderedPageBreak/>
        <w:t xml:space="preserve">reimbursements are not available for retrospective negotiation and cannot be linked to the outcome of a case or settlement. </w:t>
      </w:r>
    </w:p>
    <w:p w14:paraId="63C03626" w14:textId="77777777" w:rsidR="00283615" w:rsidRDefault="00283615" w:rsidP="00D77E31">
      <w:pPr>
        <w:pStyle w:val="NoSpacing"/>
        <w:rPr>
          <w:b/>
          <w:bCs/>
        </w:rPr>
      </w:pPr>
    </w:p>
    <w:p w14:paraId="192F8D0B" w14:textId="42739BDF" w:rsidR="005B7460" w:rsidRDefault="00D77E31" w:rsidP="00D77E31">
      <w:pPr>
        <w:pStyle w:val="NoSpacing"/>
      </w:pPr>
      <w:r w:rsidRPr="005B7460">
        <w:rPr>
          <w:b/>
          <w:bCs/>
        </w:rPr>
        <w:t>5.0</w:t>
      </w:r>
      <w:r w:rsidR="00585677">
        <w:rPr>
          <w:b/>
          <w:bCs/>
        </w:rPr>
        <w:tab/>
      </w:r>
      <w:r w:rsidRPr="005B7460">
        <w:rPr>
          <w:b/>
          <w:bCs/>
        </w:rPr>
        <w:t>Fees Paid by Third Parties:</w:t>
      </w:r>
      <w:r>
        <w:t xml:space="preserve"> </w:t>
      </w:r>
      <w:r w:rsidR="00E03DB1">
        <w:t xml:space="preserve">the law office </w:t>
      </w:r>
      <w:r w:rsidR="000C6C55">
        <w:t xml:space="preserve">                     </w:t>
      </w:r>
      <w:r>
        <w:t xml:space="preserve">is responsible for the payment of all fees. If a Third Party, such as an insurance carrier, is designated to pay fees directly to </w:t>
      </w:r>
      <w:r w:rsidR="005B7460">
        <w:t>Steven Smyth</w:t>
      </w:r>
      <w:r>
        <w:t xml:space="preserve">, the Third Party shall be identified by name, address, and telephone number. </w:t>
      </w:r>
      <w:r w:rsidR="00E03DB1">
        <w:t xml:space="preserve"> The law office </w:t>
      </w:r>
      <w:r w:rsidR="00E03DB1" w:rsidRPr="00585677">
        <w:t xml:space="preserve">of </w:t>
      </w:r>
      <w:r w:rsidR="000C6C55">
        <w:t xml:space="preserve">                         </w:t>
      </w:r>
      <w:r>
        <w:t>shall instruct the Third Party to identify the name of the case for which compensation is being made</w:t>
      </w:r>
      <w:r w:rsidR="005B7460">
        <w:t>, and when</w:t>
      </w:r>
      <w:r>
        <w:t xml:space="preserve"> payment is made. </w:t>
      </w:r>
    </w:p>
    <w:p w14:paraId="3962C18A" w14:textId="77777777" w:rsidR="00283615" w:rsidRDefault="00283615" w:rsidP="00D77E31">
      <w:pPr>
        <w:pStyle w:val="NoSpacing"/>
        <w:rPr>
          <w:b/>
          <w:bCs/>
        </w:rPr>
      </w:pPr>
    </w:p>
    <w:p w14:paraId="2997687A" w14:textId="578B8902" w:rsidR="005B7460" w:rsidRDefault="00D77E31" w:rsidP="00D77E31">
      <w:pPr>
        <w:pStyle w:val="NoSpacing"/>
      </w:pPr>
      <w:r w:rsidRPr="005B7460">
        <w:rPr>
          <w:b/>
          <w:bCs/>
        </w:rPr>
        <w:t>6.0</w:t>
      </w:r>
      <w:r w:rsidR="00585677">
        <w:rPr>
          <w:b/>
          <w:bCs/>
        </w:rPr>
        <w:tab/>
      </w:r>
      <w:r w:rsidRPr="005B7460">
        <w:rPr>
          <w:b/>
          <w:bCs/>
        </w:rPr>
        <w:t xml:space="preserve">Increase in </w:t>
      </w:r>
      <w:r w:rsidR="00585677">
        <w:rPr>
          <w:b/>
          <w:bCs/>
        </w:rPr>
        <w:t>H</w:t>
      </w:r>
      <w:r w:rsidRPr="005B7460">
        <w:rPr>
          <w:b/>
          <w:bCs/>
        </w:rPr>
        <w:t xml:space="preserve">ourly </w:t>
      </w:r>
      <w:r w:rsidR="00585677">
        <w:rPr>
          <w:b/>
          <w:bCs/>
        </w:rPr>
        <w:t>R</w:t>
      </w:r>
      <w:r w:rsidRPr="005B7460">
        <w:rPr>
          <w:b/>
          <w:bCs/>
        </w:rPr>
        <w:t>ates:</w:t>
      </w:r>
      <w:r>
        <w:t xml:space="preserve"> Two </w:t>
      </w:r>
      <w:r w:rsidR="005B7460">
        <w:t>months’</w:t>
      </w:r>
      <w:r>
        <w:t xml:space="preserve"> advance notice of any increase will be provided. </w:t>
      </w:r>
    </w:p>
    <w:p w14:paraId="65C9FDA1" w14:textId="77777777" w:rsidR="00283615" w:rsidRDefault="00283615" w:rsidP="00D77E31">
      <w:pPr>
        <w:pStyle w:val="NoSpacing"/>
        <w:rPr>
          <w:b/>
          <w:bCs/>
        </w:rPr>
      </w:pPr>
    </w:p>
    <w:p w14:paraId="4446D0B4" w14:textId="17FB71EF" w:rsidR="00283615" w:rsidRDefault="00D77E31" w:rsidP="00D77E31">
      <w:pPr>
        <w:pStyle w:val="NoSpacing"/>
      </w:pPr>
      <w:r w:rsidRPr="005B7460">
        <w:rPr>
          <w:b/>
          <w:bCs/>
        </w:rPr>
        <w:t>7.0</w:t>
      </w:r>
      <w:r w:rsidR="00585677">
        <w:rPr>
          <w:b/>
          <w:bCs/>
        </w:rPr>
        <w:tab/>
      </w:r>
      <w:r w:rsidRPr="005B7460">
        <w:rPr>
          <w:b/>
          <w:bCs/>
        </w:rPr>
        <w:t>Referral or Assignment:</w:t>
      </w:r>
      <w:r>
        <w:t xml:space="preserve"> If </w:t>
      </w:r>
      <w:r w:rsidR="00E03DB1">
        <w:t xml:space="preserve">the law office of </w:t>
      </w:r>
      <w:r w:rsidR="000C6C55">
        <w:t xml:space="preserve">                   </w:t>
      </w:r>
      <w:r>
        <w:t>refers or assigns the subject case to another attorney, firm, or responsible entity, Written Notice shall be provided to</w:t>
      </w:r>
      <w:r w:rsidR="005B7460">
        <w:t xml:space="preserve"> Steven Smyth</w:t>
      </w:r>
      <w:r>
        <w:t xml:space="preserve">. All outstanding Fees and Reimbursements shall be made at the time of the Notice. If </w:t>
      </w:r>
      <w:r w:rsidR="00E03DB1">
        <w:t xml:space="preserve">the law office </w:t>
      </w:r>
      <w:r w:rsidR="00A01947">
        <w:t xml:space="preserve">     </w:t>
      </w:r>
      <w:r w:rsidR="00E03DB1" w:rsidRPr="006B60FD">
        <w:t xml:space="preserve">of </w:t>
      </w:r>
      <w:r w:rsidR="000C6C55">
        <w:t xml:space="preserve">                                   </w:t>
      </w:r>
      <w:r>
        <w:t xml:space="preserve">retains a direct participating interest in the case, this Agreement will remain in effect. </w:t>
      </w:r>
    </w:p>
    <w:p w14:paraId="74C962F3" w14:textId="77777777" w:rsidR="00283615" w:rsidRDefault="00283615" w:rsidP="00D77E31">
      <w:pPr>
        <w:pStyle w:val="NoSpacing"/>
      </w:pPr>
    </w:p>
    <w:p w14:paraId="6D0C56A7" w14:textId="5BFD4B5B" w:rsidR="00186B4F" w:rsidRPr="006B60FD" w:rsidRDefault="00D77E31" w:rsidP="00D77E31">
      <w:pPr>
        <w:pStyle w:val="NoSpacing"/>
      </w:pPr>
      <w:r w:rsidRPr="005B7460">
        <w:rPr>
          <w:b/>
          <w:bCs/>
        </w:rPr>
        <w:t>8.0</w:t>
      </w:r>
      <w:r w:rsidR="00585677">
        <w:rPr>
          <w:b/>
          <w:bCs/>
        </w:rPr>
        <w:tab/>
      </w:r>
      <w:r w:rsidRPr="005B7460">
        <w:rPr>
          <w:b/>
          <w:bCs/>
        </w:rPr>
        <w:t>Representation:</w:t>
      </w:r>
      <w:r w:rsidR="00E03DB1" w:rsidRPr="00E03DB1">
        <w:t xml:space="preserve"> </w:t>
      </w:r>
      <w:r w:rsidR="00E03DB1">
        <w:t xml:space="preserve">the law office </w:t>
      </w:r>
      <w:r w:rsidR="00D82079">
        <w:t xml:space="preserve">of </w:t>
      </w:r>
      <w:r w:rsidR="000C6C55">
        <w:t xml:space="preserve">             </w:t>
      </w:r>
      <w:r w:rsidRPr="006B60FD">
        <w:t xml:space="preserve">Signee of this Agreement represents that s/he is representing </w:t>
      </w:r>
      <w:r w:rsidR="00E03DB1" w:rsidRPr="006B60FD">
        <w:t xml:space="preserve">the law office of </w:t>
      </w:r>
      <w:r w:rsidR="00A01947">
        <w:t xml:space="preserve">            </w:t>
      </w:r>
      <w:r w:rsidRPr="006B60FD">
        <w:t xml:space="preserve">and its obligations under this Agreement. </w:t>
      </w:r>
    </w:p>
    <w:p w14:paraId="4B8C5F5E" w14:textId="77777777" w:rsidR="00283615" w:rsidRDefault="00283615" w:rsidP="00D77E31">
      <w:pPr>
        <w:pStyle w:val="NoSpacing"/>
        <w:rPr>
          <w:b/>
          <w:bCs/>
        </w:rPr>
      </w:pPr>
    </w:p>
    <w:p w14:paraId="77B86CD2" w14:textId="0A6EDB56" w:rsidR="00186B4F" w:rsidRDefault="00D77E31" w:rsidP="00D77E31">
      <w:pPr>
        <w:pStyle w:val="NoSpacing"/>
      </w:pPr>
      <w:r w:rsidRPr="00186B4F">
        <w:rPr>
          <w:b/>
          <w:bCs/>
        </w:rPr>
        <w:t>9.0</w:t>
      </w:r>
      <w:r w:rsidR="00585677">
        <w:rPr>
          <w:b/>
          <w:bCs/>
        </w:rPr>
        <w:tab/>
      </w:r>
      <w:r w:rsidRPr="00186B4F">
        <w:rPr>
          <w:b/>
          <w:bCs/>
        </w:rPr>
        <w:t>Termination:</w:t>
      </w:r>
      <w:r>
        <w:t xml:space="preserve"> This Agreement may be terminated by either party upon notice, and such termination shall relieve each party of any assumed or implied obligations other than payment of any balance due. </w:t>
      </w:r>
      <w:r w:rsidR="00186B4F">
        <w:t>Written notice of the Termination or resolution of the subject case</w:t>
      </w:r>
      <w:r>
        <w:t xml:space="preserve"> shall be made by the terminating party to the other. All outstanding fees and reimbursements shall be made at Termination without delay.</w:t>
      </w:r>
    </w:p>
    <w:p w14:paraId="46DDB072" w14:textId="77777777" w:rsidR="00283615" w:rsidRDefault="00283615" w:rsidP="00D77E31">
      <w:pPr>
        <w:pStyle w:val="NoSpacing"/>
        <w:rPr>
          <w:b/>
          <w:bCs/>
        </w:rPr>
      </w:pPr>
    </w:p>
    <w:p w14:paraId="05E78B3F" w14:textId="65331A27" w:rsidR="00186B4F" w:rsidRDefault="00186B4F" w:rsidP="00D77E31">
      <w:pPr>
        <w:pStyle w:val="NoSpacing"/>
      </w:pPr>
      <w:r w:rsidRPr="00186B4F">
        <w:rPr>
          <w:b/>
          <w:bCs/>
        </w:rPr>
        <w:t>10</w:t>
      </w:r>
      <w:r w:rsidR="00D77E31" w:rsidRPr="00186B4F">
        <w:rPr>
          <w:b/>
          <w:bCs/>
        </w:rPr>
        <w:t>.0</w:t>
      </w:r>
      <w:r w:rsidR="00585677">
        <w:rPr>
          <w:b/>
          <w:bCs/>
        </w:rPr>
        <w:tab/>
      </w:r>
      <w:r w:rsidR="00D77E31" w:rsidRPr="00186B4F">
        <w:rPr>
          <w:b/>
          <w:bCs/>
        </w:rPr>
        <w:t>Agreed by the Parties Below:</w:t>
      </w:r>
      <w:r w:rsidR="00D77E31">
        <w:t xml:space="preserve"> on the date set forth above, accompanied by a retainer fee of $</w:t>
      </w:r>
      <w:r>
        <w:t>1</w:t>
      </w:r>
      <w:r w:rsidR="00D82079">
        <w:t>2</w:t>
      </w:r>
      <w:r>
        <w:t>00</w:t>
      </w:r>
      <w:r w:rsidR="0013717C">
        <w:t>.00</w:t>
      </w:r>
      <w:r>
        <w:t xml:space="preserve"> ($</w:t>
      </w:r>
      <w:r w:rsidR="00D82079">
        <w:t>300</w:t>
      </w:r>
      <w:r>
        <w:t xml:space="preserve"> X 4 hours)</w:t>
      </w:r>
      <w:r w:rsidR="0013717C">
        <w:t>.</w:t>
      </w:r>
    </w:p>
    <w:p w14:paraId="56E7281C" w14:textId="77777777" w:rsidR="00283615" w:rsidRDefault="00283615" w:rsidP="00D77E31">
      <w:pPr>
        <w:pStyle w:val="NoSpacing"/>
      </w:pPr>
    </w:p>
    <w:p w14:paraId="33F05871" w14:textId="77777777" w:rsidR="00283615" w:rsidRDefault="00283615" w:rsidP="00D77E31">
      <w:pPr>
        <w:pStyle w:val="NoSpacing"/>
      </w:pPr>
    </w:p>
    <w:p w14:paraId="083D0EC4" w14:textId="77777777" w:rsidR="0013717C" w:rsidRDefault="0013717C" w:rsidP="00D77E31">
      <w:pPr>
        <w:pStyle w:val="NoSpacing"/>
      </w:pPr>
    </w:p>
    <w:p w14:paraId="05421474" w14:textId="77777777" w:rsidR="00186B4F" w:rsidRDefault="00186B4F" w:rsidP="00D77E31">
      <w:pPr>
        <w:pStyle w:val="NoSpacing"/>
      </w:pPr>
    </w:p>
    <w:p w14:paraId="3FDECAB4" w14:textId="77777777" w:rsidR="00186B4F" w:rsidRDefault="00186B4F" w:rsidP="00D77E31">
      <w:pPr>
        <w:pStyle w:val="NoSpacing"/>
      </w:pPr>
    </w:p>
    <w:p w14:paraId="05CA19EB" w14:textId="31BCB67A" w:rsidR="00186B4F" w:rsidRDefault="00D77E31" w:rsidP="00186B4F">
      <w:pPr>
        <w:pStyle w:val="NoSpacing"/>
        <w:ind w:firstLine="720"/>
      </w:pPr>
      <w:r>
        <w:t xml:space="preserve">Signature of the Expert </w:t>
      </w:r>
      <w:r w:rsidR="00186B4F">
        <w:tab/>
      </w:r>
      <w:r w:rsidR="00186B4F">
        <w:tab/>
      </w:r>
      <w:r w:rsidR="00186B4F">
        <w:tab/>
      </w:r>
      <w:r w:rsidR="00186B4F">
        <w:tab/>
      </w:r>
      <w:r>
        <w:t xml:space="preserve">Signature of Retaining Counsel </w:t>
      </w:r>
    </w:p>
    <w:p w14:paraId="7D96CEF8" w14:textId="77777777" w:rsidR="00186B4F" w:rsidRDefault="00186B4F" w:rsidP="00D77E31">
      <w:pPr>
        <w:pStyle w:val="NoSpacing"/>
      </w:pPr>
    </w:p>
    <w:p w14:paraId="1102C142" w14:textId="77777777" w:rsidR="00186B4F" w:rsidRDefault="00186B4F" w:rsidP="00D77E31">
      <w:pPr>
        <w:pStyle w:val="NoSpacing"/>
      </w:pPr>
    </w:p>
    <w:p w14:paraId="3319E723" w14:textId="77777777" w:rsidR="0013717C" w:rsidRDefault="0013717C" w:rsidP="00D77E31">
      <w:pPr>
        <w:pStyle w:val="NoSpacing"/>
      </w:pPr>
    </w:p>
    <w:p w14:paraId="601E7687" w14:textId="41C79518" w:rsidR="00503787" w:rsidRDefault="00D77E31" w:rsidP="00503787">
      <w:pPr>
        <w:pStyle w:val="NoSpacing"/>
        <w:ind w:left="720" w:hanging="720"/>
      </w:pPr>
      <w:r>
        <w:t>_______________________</w:t>
      </w:r>
      <w:r w:rsidR="00186B4F" w:rsidRPr="00186B4F">
        <w:rPr>
          <w:u w:val="single"/>
        </w:rPr>
        <w:tab/>
      </w:r>
      <w:proofErr w:type="gramStart"/>
      <w:r>
        <w:t>_</w:t>
      </w:r>
      <w:r w:rsidR="00186B4F">
        <w:rPr>
          <w:u w:val="single"/>
        </w:rPr>
        <w:tab/>
      </w:r>
      <w:r>
        <w:t>_</w:t>
      </w:r>
      <w:proofErr w:type="gramEnd"/>
      <w:r>
        <w:t>_</w:t>
      </w:r>
      <w:r w:rsidR="00283615">
        <w:t xml:space="preserve">_ </w:t>
      </w:r>
      <w:r w:rsidR="00283615">
        <w:tab/>
      </w:r>
      <w:r w:rsidR="00186B4F">
        <w:tab/>
      </w:r>
      <w:r w:rsidR="00186B4F">
        <w:rPr>
          <w:u w:val="single"/>
        </w:rPr>
        <w:tab/>
      </w:r>
      <w:r w:rsidR="00186B4F">
        <w:rPr>
          <w:u w:val="single"/>
        </w:rPr>
        <w:tab/>
      </w:r>
      <w:r w:rsidR="00186B4F">
        <w:rPr>
          <w:u w:val="single"/>
        </w:rPr>
        <w:tab/>
      </w:r>
      <w:r w:rsidR="00186B4F">
        <w:rPr>
          <w:u w:val="single"/>
        </w:rPr>
        <w:tab/>
      </w:r>
      <w:r w:rsidR="00186B4F">
        <w:rPr>
          <w:u w:val="single"/>
        </w:rPr>
        <w:tab/>
      </w:r>
      <w:r w:rsidR="00186B4F">
        <w:rPr>
          <w:u w:val="single"/>
        </w:rPr>
        <w:tab/>
      </w:r>
    </w:p>
    <w:p w14:paraId="4FDB86FC" w14:textId="2C85E6DF" w:rsidR="00186B4F" w:rsidRDefault="00186B4F" w:rsidP="00186B4F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69604FF5" w14:textId="77777777" w:rsidR="00186B4F" w:rsidRDefault="00186B4F" w:rsidP="00B046E2">
      <w:pPr>
        <w:pStyle w:val="NoSpacing"/>
      </w:pPr>
    </w:p>
    <w:sectPr w:rsidR="0018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31"/>
    <w:rsid w:val="00005EE7"/>
    <w:rsid w:val="000C5138"/>
    <w:rsid w:val="000C6C55"/>
    <w:rsid w:val="00117872"/>
    <w:rsid w:val="0013717C"/>
    <w:rsid w:val="00174F46"/>
    <w:rsid w:val="00186B4F"/>
    <w:rsid w:val="00283615"/>
    <w:rsid w:val="002A4285"/>
    <w:rsid w:val="00365559"/>
    <w:rsid w:val="004B3429"/>
    <w:rsid w:val="00503787"/>
    <w:rsid w:val="00585677"/>
    <w:rsid w:val="005B7460"/>
    <w:rsid w:val="006B60FD"/>
    <w:rsid w:val="00701686"/>
    <w:rsid w:val="008139AF"/>
    <w:rsid w:val="00830E0C"/>
    <w:rsid w:val="008A4961"/>
    <w:rsid w:val="00A01947"/>
    <w:rsid w:val="00A42C24"/>
    <w:rsid w:val="00B046E2"/>
    <w:rsid w:val="00B52E46"/>
    <w:rsid w:val="00D1320C"/>
    <w:rsid w:val="00D77E31"/>
    <w:rsid w:val="00D82079"/>
    <w:rsid w:val="00E03DB1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71C2"/>
  <w15:chartTrackingRefBased/>
  <w15:docId w15:val="{E74840BB-3F23-4D05-A4E0-CC6E844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E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7E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6B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5882-65BF-4807-8A6E-13B1208173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c58aa3-8557-4f92-909b-7f0848f0d9f5}" enabled="0" method="" siteId="{d3c58aa3-8557-4f92-909b-7f0848f0d9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Smyth</dc:creator>
  <cp:keywords/>
  <dc:description/>
  <cp:lastModifiedBy>Steven Smyth</cp:lastModifiedBy>
  <cp:revision>2</cp:revision>
  <cp:lastPrinted>2024-12-13T14:07:00Z</cp:lastPrinted>
  <dcterms:created xsi:type="dcterms:W3CDTF">2025-05-10T01:34:00Z</dcterms:created>
  <dcterms:modified xsi:type="dcterms:W3CDTF">2025-05-10T01:34:00Z</dcterms:modified>
</cp:coreProperties>
</file>